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6E65FD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Trzeci</w:t>
      </w:r>
      <w:r w:rsidR="00EC3EB0"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Urząd Skarbowy w Lublinie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815D8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Trzeciego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Urzędu Skarbowego w Lublinie znajduje się przy ulicy </w:t>
      </w:r>
      <w:r w:rsidR="00815D8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Narutowicza 56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w Lublinie.</w:t>
      </w:r>
    </w:p>
    <w:p w:rsidR="008D68BB" w:rsidRDefault="00815D82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15D82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4442460" cy="3048000"/>
            <wp:effectExtent l="0" t="0" r="0" b="0"/>
            <wp:docPr id="5" name="Obraz 5" descr="C:\Users\ghbt\Documents\0151 BIP\_WCAG\ETR\Urzędy Skarbowe\TUS Lublin\TUS Lu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TUS Lublin\TUS Lubl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Naczelnikowi pomagają zastępcy oraz pracownicy. </w:t>
      </w:r>
      <w:r w:rsidR="00815D8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Trzeci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Urząd Skarbowy w Lublinie jest jednostką Krajowej Administracji Skarbowej.</w:t>
      </w:r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Pr="00C17651" w:rsidRDefault="00EC3EB0" w:rsidP="00EC3EB0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815D82" w:rsidRPr="00815D82" w:rsidRDefault="00815D82" w:rsidP="00815D82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15D8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Budynek Trzeciego Urzędu Skarbowego w Lublinie w dużej części przystosowany jest do obsługi osób niepełnosprawnych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,</w:t>
      </w:r>
      <w:r w:rsidRPr="00815D8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tj.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:</w:t>
      </w:r>
    </w:p>
    <w:p w:rsidR="00815D82" w:rsidRPr="00815D82" w:rsidRDefault="00815D82" w:rsidP="00815D82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15D8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do budynku wchodzi się z poziomu chodnika nie pokonując żadnych progów,</w:t>
      </w:r>
    </w:p>
    <w:p w:rsidR="00815D82" w:rsidRPr="00815D82" w:rsidRDefault="00815D82" w:rsidP="00815D82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15D8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na sali obsługi wydzielono stanowisko przystosowane do obsługi osób na wózkach inwalidzkich,</w:t>
      </w:r>
    </w:p>
    <w:p w:rsidR="00815D82" w:rsidRPr="00815D82" w:rsidRDefault="00815D82" w:rsidP="00815D82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15D8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toaleta na parterze przystosowana jest dla osób niepełnosprawnych.</w:t>
      </w:r>
    </w:p>
    <w:p w:rsidR="00815D82" w:rsidRPr="00815D82" w:rsidRDefault="00815D82" w:rsidP="00815D82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15D8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W Trzecim Urzędzie Skarbowym w Lublinie obsługa osób niepełnosprawnych odbywa się na sali obsługi bezpośredniej znajdującej się na parterze urzędu. Pracownicy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s</w:t>
      </w:r>
      <w:r w:rsidRPr="00815D8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ali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o</w:t>
      </w:r>
      <w:r w:rsidRPr="00815D8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bsługi zostali zobligowani do kompleksowej obsługi osób niepełnosprawnych lub wezwania merytorycznego pracownika do jego obsługi.</w:t>
      </w:r>
    </w:p>
    <w:p w:rsidR="00815D82" w:rsidRPr="00815D82" w:rsidRDefault="00815D82" w:rsidP="00815D82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bookmarkStart w:id="0" w:name="_GoBack"/>
      <w:bookmarkEnd w:id="0"/>
      <w:r w:rsidRPr="00815D82">
        <w:rPr>
          <w:rFonts w:ascii="Arial" w:eastAsia="Times New Roman" w:hAnsi="Arial" w:cs="Arial"/>
          <w:color w:val="464646"/>
          <w:sz w:val="21"/>
          <w:szCs w:val="21"/>
          <w:lang w:eastAsia="pl-PL"/>
        </w:rPr>
        <w:lastRenderedPageBreak/>
        <w:t>Przed wejściem do urzędu znajdują się 2 miejsca parkingowe dla osób niepełnosprawnych.</w:t>
      </w:r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</w:p>
    <w:p w:rsidR="00C17651" w:rsidRDefault="00C17651" w:rsidP="00C17651">
      <w:pPr>
        <w:pStyle w:val="NormalnyWeb"/>
        <w:shd w:val="clear" w:color="auto" w:fill="FFFFFF"/>
        <w:spacing w:before="96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drawing>
          <wp:inline distT="0" distB="0" distL="0" distR="0" wp14:anchorId="7DD57C3A" wp14:editId="43900DB3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815D82">
        <w:rPr>
          <w:rFonts w:ascii="Arial" w:hAnsi="Arial" w:cs="Arial"/>
          <w:color w:val="464646"/>
          <w:sz w:val="21"/>
          <w:szCs w:val="21"/>
        </w:rPr>
        <w:t>Trzecim</w:t>
      </w:r>
      <w:r>
        <w:rPr>
          <w:rFonts w:ascii="Arial" w:hAnsi="Arial" w:cs="Arial"/>
          <w:color w:val="464646"/>
          <w:sz w:val="21"/>
          <w:szCs w:val="21"/>
        </w:rPr>
        <w:t xml:space="preserve"> Urzędzie Skarbowym w Lublinie poprzez wykorzystywanie środków wspierających komunikowanie się.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Pr="00C17651" w:rsidRDefault="00C17651" w:rsidP="00C17651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</w:t>
      </w:r>
      <w:r w:rsidR="00815D82">
        <w:rPr>
          <w:rFonts w:ascii="Arial" w:hAnsi="Arial" w:cs="Arial"/>
          <w:color w:val="464646"/>
          <w:sz w:val="21"/>
          <w:szCs w:val="21"/>
        </w:rPr>
        <w:t>Trzeci</w:t>
      </w:r>
      <w:r>
        <w:rPr>
          <w:rFonts w:ascii="Arial" w:hAnsi="Arial" w:cs="Arial"/>
          <w:color w:val="464646"/>
          <w:sz w:val="21"/>
          <w:szCs w:val="21"/>
        </w:rPr>
        <w:t xml:space="preserve"> Urząd Skarbowy w Lublinie, ul. </w:t>
      </w:r>
      <w:r w:rsidR="00815D82">
        <w:rPr>
          <w:rFonts w:ascii="Arial" w:hAnsi="Arial" w:cs="Arial"/>
          <w:color w:val="464646"/>
          <w:sz w:val="21"/>
          <w:szCs w:val="21"/>
        </w:rPr>
        <w:t>Narutowicza 56, 20-016</w:t>
      </w:r>
      <w:r>
        <w:rPr>
          <w:rFonts w:ascii="Arial" w:hAnsi="Arial" w:cs="Arial"/>
          <w:color w:val="464646"/>
          <w:sz w:val="21"/>
          <w:szCs w:val="21"/>
        </w:rPr>
        <w:t xml:space="preserve"> Lublin;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="00815D82" w:rsidRPr="00D67F0A">
          <w:rPr>
            <w:rStyle w:val="Hipercze"/>
            <w:rFonts w:ascii="Arial" w:hAnsi="Arial" w:cs="Arial"/>
            <w:sz w:val="21"/>
            <w:szCs w:val="21"/>
          </w:rPr>
          <w:t>sekretariat.3us.lublin@mf.gov.pl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003992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przesyłanie faksów: nr 81 535 04 53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kontakt telefoniczny: nr 81</w:t>
      </w:r>
      <w:r w:rsidR="00815D82">
        <w:rPr>
          <w:rFonts w:ascii="Arial" w:hAnsi="Arial" w:cs="Arial"/>
          <w:color w:val="464646"/>
          <w:sz w:val="21"/>
          <w:szCs w:val="21"/>
        </w:rPr>
        <w:t> 535 04 77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C17651" w:rsidRDefault="00C17651" w:rsidP="00C17651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pisemnie na adres: </w:t>
      </w:r>
      <w:r w:rsidR="00815D82">
        <w:rPr>
          <w:rFonts w:ascii="Arial" w:hAnsi="Arial" w:cs="Arial"/>
          <w:color w:val="464646"/>
          <w:sz w:val="21"/>
          <w:szCs w:val="21"/>
        </w:rPr>
        <w:t>Trzeci</w:t>
      </w:r>
      <w:r>
        <w:rPr>
          <w:rFonts w:ascii="Arial" w:hAnsi="Arial" w:cs="Arial"/>
          <w:color w:val="464646"/>
          <w:sz w:val="21"/>
          <w:szCs w:val="21"/>
        </w:rPr>
        <w:t xml:space="preserve"> Urząd Skarbowy w Lublinie, ul. </w:t>
      </w:r>
      <w:r w:rsidR="00815D82">
        <w:rPr>
          <w:rFonts w:ascii="Arial" w:hAnsi="Arial" w:cs="Arial"/>
          <w:color w:val="464646"/>
          <w:sz w:val="21"/>
          <w:szCs w:val="21"/>
        </w:rPr>
        <w:t>Narutowicza 56, 20-016</w:t>
      </w:r>
      <w:r>
        <w:rPr>
          <w:rFonts w:ascii="Arial" w:hAnsi="Arial" w:cs="Arial"/>
          <w:color w:val="464646"/>
          <w:sz w:val="21"/>
          <w:szCs w:val="21"/>
        </w:rPr>
        <w:t xml:space="preserve"> Lublin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815D82" w:rsidRPr="00D67F0A">
          <w:rPr>
            <w:rStyle w:val="Hipercze"/>
            <w:rFonts w:ascii="Arial" w:hAnsi="Arial" w:cs="Arial"/>
            <w:sz w:val="21"/>
            <w:szCs w:val="21"/>
          </w:rPr>
          <w:t>sekretariat.3us.lublin@mf.gov.pl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43148D" w:rsidRPr="00815D82" w:rsidRDefault="00003992" w:rsidP="00815D82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faksem na nr 81 535 04 53.</w:t>
      </w:r>
    </w:p>
    <w:sectPr w:rsidR="0043148D" w:rsidRPr="0081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2D3B4E"/>
    <w:multiLevelType w:val="multilevel"/>
    <w:tmpl w:val="BA527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003992"/>
    <w:rsid w:val="0043148D"/>
    <w:rsid w:val="006E65FD"/>
    <w:rsid w:val="00815D82"/>
    <w:rsid w:val="008D68BB"/>
    <w:rsid w:val="00C17651"/>
    <w:rsid w:val="00D962FA"/>
    <w:rsid w:val="00EC3EB0"/>
    <w:rsid w:val="00E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27E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3us.lublin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uap.gov.pl/wps/portal/strefa-klienta/katalog-spraw/opis-uslugi/skargi-wnioski-zapytania-do-urzedu/d05m9cgx0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3us.lublin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7</cp:revision>
  <dcterms:created xsi:type="dcterms:W3CDTF">2020-09-30T07:11:00Z</dcterms:created>
  <dcterms:modified xsi:type="dcterms:W3CDTF">2020-10-05T08:40:00Z</dcterms:modified>
</cp:coreProperties>
</file>